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360" w:lineRule="auto"/>
        <w:ind w:firstLine="883" w:firstLineChars="200"/>
        <w:jc w:val="center"/>
        <w:rPr>
          <w:rFonts w:hint="eastAsia" w:ascii="仿宋" w:hAnsi="仿宋" w:eastAsia="仿宋" w:cs="仿宋"/>
          <w:b/>
          <w:bCs/>
          <w:sz w:val="44"/>
          <w:szCs w:val="44"/>
          <w:lang w:val="en-US" w:eastAsia="zh-CN"/>
        </w:rPr>
      </w:pPr>
      <w:r>
        <w:rPr>
          <w:rFonts w:hint="eastAsia" w:ascii="仿宋" w:hAnsi="仿宋" w:eastAsia="仿宋" w:cs="仿宋"/>
          <w:b/>
          <w:bCs/>
          <w:sz w:val="44"/>
          <w:szCs w:val="44"/>
          <w:lang w:val="en-US" w:eastAsia="zh-CN"/>
        </w:rPr>
        <w:t>采购需求</w:t>
      </w:r>
    </w:p>
    <w:p>
      <w:pPr>
        <w:spacing w:after="156" w:afterLines="50" w:line="360" w:lineRule="auto"/>
        <w:ind w:firstLine="480" w:firstLineChars="200"/>
        <w:rPr>
          <w:rFonts w:ascii="仿宋" w:hAnsi="仿宋" w:eastAsia="仿宋" w:cs="仿宋"/>
          <w:sz w:val="24"/>
        </w:rPr>
      </w:pPr>
      <w:r>
        <w:rPr>
          <w:rFonts w:hint="eastAsia" w:ascii="仿宋" w:hAnsi="仿宋" w:eastAsia="仿宋" w:cs="仿宋"/>
          <w:sz w:val="24"/>
        </w:rPr>
        <w:t>税务仿真模拟实训是财税、会计类专业教学环节的重要组成部分，是学生在校学习期间的重要阶段，是培养学生创新精神和实践能力的重要手段，也是职业院校技能大赛纳税申报与风险识别比赛的重要内容。税务仿真模拟实训的开展，旨在培养学生的纳税申报业务处理能力，使学生比较系统地练习企业进行纳税申报的基本程序和操作方法，加强学生对基本理论的理解、基本方法的运用和基本技能的训练，提高实际上动手能力。</w:t>
      </w:r>
    </w:p>
    <w:p>
      <w:pPr>
        <w:spacing w:after="156" w:afterLines="50" w:line="360" w:lineRule="auto"/>
        <w:ind w:firstLine="480" w:firstLineChars="200"/>
        <w:rPr>
          <w:rFonts w:ascii="仿宋" w:hAnsi="仿宋" w:eastAsia="仿宋" w:cs="仿宋"/>
          <w:sz w:val="24"/>
        </w:rPr>
      </w:pPr>
      <w:r>
        <w:rPr>
          <w:rFonts w:hint="eastAsia" w:ascii="仿宋" w:hAnsi="仿宋" w:eastAsia="仿宋" w:cs="仿宋"/>
          <w:sz w:val="24"/>
        </w:rPr>
        <w:t>职业院校技能大赛纳税申报与风险识别比赛实训、模考平台是一个信息化、数字化的开放式综合实训中心，可以实现税收风控一体化实训,即会计实训、税务实训、纳税评估、纳税筹划，不仅满足多专业联动实训需求，又解决了多系统不兼容，业务流程不流通的问题，既能满足职业院校技能大赛的需要，又能服务于1+X个税计算考试，还能满足学生日常的教学实训。该平台适用于财经商贸大类的专业,包括会计专业、财务管理专业、会计信息管理专业、税务专业、资产评估与管理专业、金融管理专业等。</w:t>
      </w:r>
    </w:p>
    <w:p>
      <w:pPr>
        <w:pStyle w:val="2"/>
        <w:ind w:left="840" w:hanging="420"/>
      </w:pPr>
    </w:p>
    <w:p>
      <w:pPr>
        <w:pStyle w:val="3"/>
      </w:pPr>
      <w:r>
        <w:rPr>
          <w:rFonts w:hint="eastAsia"/>
        </w:rPr>
        <w:t>一：项目建设清单</w:t>
      </w:r>
    </w:p>
    <w:tbl>
      <w:tblPr>
        <w:tblStyle w:val="7"/>
        <w:tblW w:w="9638" w:type="dxa"/>
        <w:jc w:val="center"/>
        <w:tblLayout w:type="autofit"/>
        <w:tblCellMar>
          <w:top w:w="0" w:type="dxa"/>
          <w:left w:w="108" w:type="dxa"/>
          <w:bottom w:w="0" w:type="dxa"/>
          <w:right w:w="108" w:type="dxa"/>
        </w:tblCellMar>
      </w:tblPr>
      <w:tblGrid>
        <w:gridCol w:w="776"/>
        <w:gridCol w:w="4122"/>
        <w:gridCol w:w="843"/>
        <w:gridCol w:w="980"/>
        <w:gridCol w:w="1383"/>
        <w:gridCol w:w="1534"/>
      </w:tblGrid>
      <w:tr>
        <w:tblPrEx>
          <w:tblCellMar>
            <w:top w:w="0" w:type="dxa"/>
            <w:left w:w="108" w:type="dxa"/>
            <w:bottom w:w="0" w:type="dxa"/>
            <w:right w:w="108" w:type="dxa"/>
          </w:tblCellMar>
        </w:tblPrEx>
        <w:trPr>
          <w:trHeight w:val="768" w:hRule="atLeast"/>
          <w:jc w:val="center"/>
        </w:trPr>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bidi="ar"/>
              </w:rPr>
              <w:t>序号</w:t>
            </w:r>
          </w:p>
        </w:tc>
        <w:tc>
          <w:tcPr>
            <w:tcW w:w="4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bidi="ar"/>
              </w:rPr>
              <w:t>设备名称</w:t>
            </w:r>
          </w:p>
        </w:tc>
        <w:tc>
          <w:tcPr>
            <w:tcW w:w="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bidi="ar"/>
              </w:rPr>
              <w:t>单位</w:t>
            </w:r>
          </w:p>
        </w:tc>
        <w:tc>
          <w:tcPr>
            <w:tcW w:w="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bidi="ar"/>
              </w:rPr>
              <w:t>数 量</w:t>
            </w:r>
          </w:p>
        </w:tc>
        <w:tc>
          <w:tcPr>
            <w:tcW w:w="13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bidi="ar"/>
              </w:rPr>
              <w:t>单价（元）</w:t>
            </w:r>
          </w:p>
        </w:tc>
        <w:tc>
          <w:tcPr>
            <w:tcW w:w="15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textAlignment w:val="top"/>
              <w:rPr>
                <w:rFonts w:ascii="仿宋" w:hAnsi="仿宋" w:eastAsia="仿宋" w:cs="仿宋"/>
                <w:b/>
                <w:bCs/>
                <w:color w:val="000000"/>
                <w:sz w:val="28"/>
                <w:szCs w:val="28"/>
              </w:rPr>
            </w:pPr>
            <w:r>
              <w:rPr>
                <w:rFonts w:hint="eastAsia" w:ascii="仿宋" w:hAnsi="仿宋" w:eastAsia="仿宋" w:cs="仿宋"/>
                <w:b/>
                <w:bCs/>
                <w:color w:val="000000"/>
                <w:kern w:val="0"/>
                <w:sz w:val="28"/>
                <w:szCs w:val="28"/>
                <w:lang w:val="en-US" w:eastAsia="zh-CN" w:bidi="ar"/>
              </w:rPr>
              <w:t>总价</w:t>
            </w:r>
            <w:r>
              <w:rPr>
                <w:rFonts w:hint="eastAsia" w:ascii="仿宋" w:hAnsi="仿宋" w:eastAsia="仿宋" w:cs="仿宋"/>
                <w:b/>
                <w:bCs/>
                <w:color w:val="000000"/>
                <w:kern w:val="0"/>
                <w:sz w:val="28"/>
                <w:szCs w:val="28"/>
                <w:lang w:bidi="ar"/>
              </w:rPr>
              <w:t>（元）</w:t>
            </w:r>
          </w:p>
        </w:tc>
      </w:tr>
      <w:tr>
        <w:tblPrEx>
          <w:tblCellMar>
            <w:top w:w="0" w:type="dxa"/>
            <w:left w:w="108" w:type="dxa"/>
            <w:bottom w:w="0" w:type="dxa"/>
            <w:right w:w="108" w:type="dxa"/>
          </w:tblCellMar>
        </w:tblPrEx>
        <w:trPr>
          <w:trHeight w:val="1145" w:hRule="atLeast"/>
          <w:jc w:val="center"/>
        </w:trPr>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w:t>
            </w:r>
          </w:p>
        </w:tc>
        <w:tc>
          <w:tcPr>
            <w:tcW w:w="4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基于金税三期标准的纳税评估教学系统</w:t>
            </w:r>
          </w:p>
        </w:tc>
        <w:tc>
          <w:tcPr>
            <w:tcW w:w="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套</w:t>
            </w:r>
          </w:p>
        </w:tc>
        <w:tc>
          <w:tcPr>
            <w:tcW w:w="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p>
        </w:tc>
        <w:tc>
          <w:tcPr>
            <w:tcW w:w="15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p>
        </w:tc>
      </w:tr>
      <w:tr>
        <w:tblPrEx>
          <w:tblCellMar>
            <w:top w:w="0" w:type="dxa"/>
            <w:left w:w="108" w:type="dxa"/>
            <w:bottom w:w="0" w:type="dxa"/>
            <w:right w:w="108" w:type="dxa"/>
          </w:tblCellMar>
        </w:tblPrEx>
        <w:trPr>
          <w:trHeight w:val="1322" w:hRule="atLeast"/>
          <w:jc w:val="center"/>
        </w:trPr>
        <w:tc>
          <w:tcPr>
            <w:tcW w:w="776"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2</w:t>
            </w:r>
          </w:p>
        </w:tc>
        <w:tc>
          <w:tcPr>
            <w:tcW w:w="4122"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基于金税三期标准的纳税评估单点策略实训系统</w:t>
            </w:r>
          </w:p>
        </w:tc>
        <w:tc>
          <w:tcPr>
            <w:tcW w:w="84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套</w:t>
            </w:r>
          </w:p>
        </w:tc>
        <w:tc>
          <w:tcPr>
            <w:tcW w:w="980"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1</w:t>
            </w:r>
          </w:p>
        </w:tc>
        <w:tc>
          <w:tcPr>
            <w:tcW w:w="1383"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p>
        </w:tc>
        <w:tc>
          <w:tcPr>
            <w:tcW w:w="1534" w:type="dxa"/>
            <w:tcBorders>
              <w:top w:val="single" w:color="000000" w:sz="4" w:space="0"/>
              <w:left w:val="single" w:color="000000" w:sz="4" w:space="0"/>
              <w:bottom w:val="single" w:color="000000" w:sz="4" w:space="0"/>
              <w:right w:val="single" w:color="000000" w:sz="4" w:space="0"/>
            </w:tcBorders>
            <w:shd w:val="clear" w:color="auto" w:fill="FFFFFF"/>
            <w:vAlign w:val="center"/>
          </w:tcPr>
          <w:p>
            <w:pPr>
              <w:widowControl/>
              <w:jc w:val="center"/>
              <w:rPr>
                <w:rFonts w:ascii="仿宋" w:hAnsi="仿宋" w:eastAsia="仿宋" w:cs="仿宋"/>
                <w:color w:val="000000"/>
                <w:kern w:val="0"/>
                <w:sz w:val="28"/>
                <w:szCs w:val="28"/>
                <w:lang w:bidi="ar"/>
              </w:rPr>
            </w:pPr>
          </w:p>
        </w:tc>
      </w:tr>
      <w:tr>
        <w:tblPrEx>
          <w:tblCellMar>
            <w:top w:w="0" w:type="dxa"/>
            <w:left w:w="108" w:type="dxa"/>
            <w:bottom w:w="0" w:type="dxa"/>
            <w:right w:w="108" w:type="dxa"/>
          </w:tblCellMar>
        </w:tblPrEx>
        <w:trPr>
          <w:trHeight w:val="804" w:hRule="atLeast"/>
          <w:jc w:val="center"/>
        </w:trPr>
        <w:tc>
          <w:tcPr>
            <w:tcW w:w="8104" w:type="dxa"/>
            <w:gridSpan w:val="5"/>
            <w:tcBorders>
              <w:top w:val="single" w:color="000000" w:sz="4" w:space="0"/>
              <w:left w:val="single" w:color="000000" w:sz="4" w:space="0"/>
              <w:bottom w:val="single" w:color="000000" w:sz="4" w:space="0"/>
              <w:right w:val="single" w:color="auto" w:sz="4" w:space="0"/>
            </w:tcBorders>
            <w:shd w:val="clear" w:color="auto" w:fill="FFFFFF"/>
            <w:vAlign w:val="center"/>
          </w:tcPr>
          <w:p>
            <w:pPr>
              <w:widowControl/>
              <w:ind w:firstLine="280" w:firstLineChars="100"/>
              <w:jc w:val="center"/>
              <w:rPr>
                <w:rFonts w:ascii="仿宋" w:hAnsi="仿宋" w:eastAsia="仿宋" w:cs="仿宋"/>
                <w:color w:val="000000"/>
                <w:kern w:val="0"/>
                <w:sz w:val="28"/>
                <w:szCs w:val="28"/>
                <w:lang w:bidi="ar"/>
              </w:rPr>
            </w:pPr>
            <w:r>
              <w:rPr>
                <w:rFonts w:hint="eastAsia" w:ascii="仿宋" w:hAnsi="仿宋" w:eastAsia="仿宋" w:cs="仿宋"/>
                <w:color w:val="000000"/>
                <w:kern w:val="0"/>
                <w:sz w:val="28"/>
                <w:szCs w:val="28"/>
                <w:lang w:bidi="ar"/>
              </w:rPr>
              <w:t>合计</w:t>
            </w:r>
          </w:p>
        </w:tc>
        <w:tc>
          <w:tcPr>
            <w:tcW w:w="1534" w:type="dxa"/>
            <w:tcBorders>
              <w:top w:val="single" w:color="000000" w:sz="4" w:space="0"/>
              <w:left w:val="single" w:color="auto" w:sz="4" w:space="0"/>
              <w:bottom w:val="single" w:color="000000" w:sz="4" w:space="0"/>
              <w:right w:val="single" w:color="000000" w:sz="4" w:space="0"/>
            </w:tcBorders>
            <w:shd w:val="clear" w:color="auto" w:fill="FFFFFF"/>
            <w:noWrap/>
            <w:vAlign w:val="center"/>
          </w:tcPr>
          <w:p>
            <w:pPr>
              <w:widowControl/>
              <w:ind w:firstLine="280" w:firstLineChars="100"/>
              <w:jc w:val="center"/>
              <w:rPr>
                <w:rFonts w:ascii="仿宋" w:hAnsi="仿宋" w:eastAsia="仿宋" w:cs="仿宋"/>
                <w:color w:val="000000"/>
                <w:kern w:val="0"/>
                <w:sz w:val="28"/>
                <w:szCs w:val="28"/>
                <w:lang w:bidi="ar"/>
              </w:rPr>
            </w:pPr>
          </w:p>
        </w:tc>
      </w:tr>
    </w:tbl>
    <w:p>
      <w:pPr>
        <w:pStyle w:val="3"/>
      </w:pPr>
      <w:r>
        <w:rPr>
          <w:rFonts w:hint="eastAsia"/>
        </w:rPr>
        <w:br w:type="page"/>
      </w:r>
      <w:r>
        <w:rPr>
          <w:rStyle w:val="18"/>
          <w:rFonts w:hint="eastAsia"/>
          <w:b/>
        </w:rPr>
        <w:t>二：</w:t>
      </w:r>
      <w:bookmarkStart w:id="0" w:name="_GoBack"/>
      <w:bookmarkEnd w:id="0"/>
      <w:r>
        <w:rPr>
          <w:rStyle w:val="18"/>
          <w:rFonts w:hint="eastAsia"/>
          <w:b/>
        </w:rPr>
        <w:t>产品参数</w:t>
      </w:r>
    </w:p>
    <w:p>
      <w:pPr>
        <w:pStyle w:val="4"/>
      </w:pPr>
      <w:r>
        <w:rPr>
          <w:rFonts w:hint="eastAsia"/>
        </w:rPr>
        <w:t>（一）基于金税三期标准的纳税评估教学系统</w:t>
      </w:r>
    </w:p>
    <w:p>
      <w:pPr>
        <w:widowControl/>
        <w:pBdr>
          <w:left w:val="dotted" w:color="E4E4E4" w:sz="12" w:space="26"/>
        </w:pBdr>
        <w:shd w:val="clear" w:color="auto" w:fill="FFFFFF"/>
        <w:spacing w:line="360" w:lineRule="auto"/>
        <w:ind w:firstLine="420" w:firstLineChars="200"/>
        <w:rPr>
          <w:rFonts w:ascii="宋体" w:hAnsi="宋体" w:cs="宋体"/>
          <w:b/>
          <w:bCs/>
          <w:kern w:val="0"/>
          <w:szCs w:val="18"/>
        </w:rPr>
      </w:pPr>
      <w:r>
        <w:rPr>
          <w:rFonts w:hint="eastAsia" w:ascii="宋体" w:hAnsi="宋体" w:cs="宋体"/>
          <w:szCs w:val="18"/>
        </w:rPr>
        <w:t>系统由理论学习、评估指标、评估指标随堂练、数据来源、指标测评等部分组成，整个系统重点学习纳税评估方法经验和风险管理核心内容，通过指标学习、数据来源分析、指标模型运用全面了解企业纳税风险管理和纳税评估流程、方法及原理。</w:t>
      </w:r>
    </w:p>
    <w:p>
      <w:pPr>
        <w:widowControl/>
        <w:pBdr>
          <w:left w:val="dotted" w:color="E4E4E4" w:sz="12" w:space="26"/>
        </w:pBdr>
        <w:shd w:val="clear" w:color="auto" w:fill="FFFFFF"/>
        <w:spacing w:line="360" w:lineRule="auto"/>
        <w:ind w:left="422" w:hanging="422" w:hangingChars="200"/>
        <w:rPr>
          <w:rFonts w:ascii="宋体" w:hAnsi="宋体" w:cs="宋体"/>
          <w:b/>
          <w:bCs/>
          <w:kern w:val="0"/>
          <w:szCs w:val="18"/>
        </w:rPr>
      </w:pPr>
      <w:r>
        <w:rPr>
          <w:rFonts w:hint="eastAsia" w:ascii="宋体" w:hAnsi="宋体" w:cs="宋体"/>
          <w:b/>
          <w:bCs/>
          <w:kern w:val="0"/>
          <w:szCs w:val="18"/>
        </w:rPr>
        <w:t>核心技术参数</w:t>
      </w:r>
    </w:p>
    <w:p>
      <w:pPr>
        <w:pBdr>
          <w:left w:val="dotted" w:color="E4E4E4" w:sz="12" w:space="26"/>
        </w:pBdr>
        <w:rPr>
          <w:rFonts w:cs="宋体" w:asciiTheme="minorEastAsia" w:hAnsiTheme="minorEastAsia"/>
          <w:szCs w:val="18"/>
        </w:rPr>
      </w:pPr>
      <w:r>
        <w:rPr>
          <w:rFonts w:hint="eastAsia" w:cs="宋体" w:asciiTheme="minorEastAsia" w:hAnsiTheme="minorEastAsia"/>
          <w:szCs w:val="18"/>
        </w:rPr>
        <w:t>系统由理论学习、评估指标、评估指标随堂练、数据来源、指标测评等部分组成，整个系统重点学习纳税评估方法经验和风险管理核心内容，通过指标学习，数据来源分析，指标模型运用全面了解企业纳税风险管理和纳税评估流程、方法及原理。</w:t>
      </w:r>
    </w:p>
    <w:p>
      <w:pPr>
        <w:spacing w:line="220" w:lineRule="atLeast"/>
        <w:rPr>
          <w:rFonts w:cs="宋体" w:asciiTheme="minorEastAsia" w:hAnsiTheme="minorEastAsia"/>
          <w:szCs w:val="18"/>
        </w:rPr>
      </w:pPr>
      <w:r>
        <w:rPr>
          <w:rFonts w:hint="eastAsia" w:cs="宋体" w:asciiTheme="minorEastAsia" w:hAnsiTheme="minorEastAsia"/>
          <w:szCs w:val="18"/>
        </w:rPr>
        <w:t>1.系统由理论学习、评估指标、评估指标随堂练、数据来源、指标测评等部分组成；</w:t>
      </w:r>
    </w:p>
    <w:p>
      <w:pPr>
        <w:spacing w:line="220" w:lineRule="atLeast"/>
        <w:rPr>
          <w:rFonts w:cs="宋体" w:asciiTheme="minorEastAsia" w:hAnsiTheme="minorEastAsia"/>
          <w:szCs w:val="18"/>
        </w:rPr>
      </w:pPr>
      <w:r>
        <w:rPr>
          <w:rFonts w:hint="eastAsia" w:cs="宋体" w:asciiTheme="minorEastAsia" w:hAnsiTheme="minorEastAsia"/>
          <w:szCs w:val="18"/>
        </w:rPr>
        <w:t>2.理论学习模块包含纳税评估原理与依据、纳税评估方法经验与逆向工程、纳税评估案例大全3本教材，主要对税收风险管理理念、功能、方法、风险疑点、风险特征库等核心内容进行深入学习，能够详细了解税收风险管理系统、税收风险等级应对方式、税收风险疑点问题分类、税收风险识别指标库；</w:t>
      </w:r>
    </w:p>
    <w:p>
      <w:pPr>
        <w:spacing w:line="220" w:lineRule="atLeast"/>
        <w:rPr>
          <w:rFonts w:cs="宋体" w:asciiTheme="minorEastAsia" w:hAnsiTheme="minorEastAsia"/>
          <w:szCs w:val="18"/>
        </w:rPr>
      </w:pPr>
      <w:r>
        <w:rPr>
          <w:rFonts w:hint="eastAsia" w:cs="宋体" w:asciiTheme="minorEastAsia" w:hAnsiTheme="minorEastAsia"/>
          <w:szCs w:val="18"/>
        </w:rPr>
        <w:t>3.★纳税评估案例大全有包含企业资质信用风险、交易处理风险、会计核算风险、纳税申报风险、行业涉税风险5个大类，资质风险、信用风险、合同签订风险、发票虚开风险、往来核算风险、成本费用核算风险、收入核算风险、增值税、企业所得税、个人所得税、消费税、车辆购置税、城镇土地使用税、印花税、房产税、医疗行业、酒店行业、制造行业、建筑行业、保险行业等20小类等合计105个案例；</w:t>
      </w:r>
    </w:p>
    <w:p>
      <w:pPr>
        <w:spacing w:line="220" w:lineRule="atLeast"/>
        <w:rPr>
          <w:rFonts w:cs="宋体" w:asciiTheme="minorEastAsia" w:hAnsiTheme="minorEastAsia"/>
          <w:szCs w:val="18"/>
        </w:rPr>
      </w:pPr>
      <w:r>
        <w:rPr>
          <w:rFonts w:hint="eastAsia" w:cs="宋体" w:asciiTheme="minorEastAsia" w:hAnsiTheme="minorEastAsia"/>
          <w:szCs w:val="18"/>
        </w:rPr>
        <w:t>4.★理论学习功能有风险管理系统及纳税评估主题培训视频20个，分别为金三税收风控系统及等级划分应对、税收风险疑点问题分类与案例导入、税收风险识别指标库讲解与综合运用、纳税能力、税收负担、财务管理类指标综合运用、税收风险识别指标模型分析与应用、纳税评估案例复盘演练与讲解等，课件专题涉及银行业、铁矿采选业、建筑业、运输行业、白酒行业、批发零售业、房地产等行业；</w:t>
      </w:r>
    </w:p>
    <w:p>
      <w:pPr>
        <w:spacing w:line="220" w:lineRule="atLeast"/>
        <w:rPr>
          <w:rFonts w:cs="宋体" w:asciiTheme="minorEastAsia" w:hAnsiTheme="minorEastAsia"/>
          <w:szCs w:val="18"/>
        </w:rPr>
      </w:pPr>
      <w:r>
        <w:rPr>
          <w:rFonts w:hint="eastAsia" w:cs="宋体" w:asciiTheme="minorEastAsia" w:hAnsiTheme="minorEastAsia"/>
          <w:szCs w:val="18"/>
        </w:rPr>
        <w:t>5.★评估指标模块包含税收负担、生成经营、纳税能力、财务管理、申报合法五大类140个评估指标信息表，能对个指标信息表进行学习，支持通过指标计算器完成无代码形式的指标公式练习，且通过系统完成自动评定功能；</w:t>
      </w:r>
    </w:p>
    <w:p>
      <w:pPr>
        <w:spacing w:line="220" w:lineRule="atLeast"/>
        <w:rPr>
          <w:rFonts w:cs="宋体" w:asciiTheme="minorEastAsia" w:hAnsiTheme="minorEastAsia"/>
          <w:szCs w:val="18"/>
        </w:rPr>
      </w:pPr>
      <w:r>
        <w:rPr>
          <w:rFonts w:hint="eastAsia" w:cs="宋体" w:asciiTheme="minorEastAsia" w:hAnsiTheme="minorEastAsia"/>
          <w:szCs w:val="18"/>
        </w:rPr>
        <w:t>6.★税收负担类评估指标需至少包含企业所得税税负率、企业所得税税负横向比较、企业所得税税负纵向比较、企业所得税贡献率差异率、增值税税负率、增值税税负横向比较、增值税税负纵向比较、增值税税负与毛利率弹性、消费税税负纵向比较、印花税税负变动系数、资源税税负变动系统等20个指标</w:t>
      </w:r>
    </w:p>
    <w:p>
      <w:pPr>
        <w:spacing w:line="220" w:lineRule="atLeast"/>
        <w:rPr>
          <w:rFonts w:cs="宋体" w:asciiTheme="minorEastAsia" w:hAnsiTheme="minorEastAsia"/>
          <w:szCs w:val="18"/>
        </w:rPr>
      </w:pPr>
      <w:r>
        <w:rPr>
          <w:rFonts w:hint="eastAsia" w:cs="宋体" w:asciiTheme="minorEastAsia" w:hAnsiTheme="minorEastAsia"/>
          <w:szCs w:val="18"/>
        </w:rPr>
        <w:t>7.★申报合法类评估指标需至少包含纳税人税控机开具发票退票预警、增值税一般纳税人滞留票情况异常、注销户异常情况预警、关联交易代开、发票结存份数较多、多户纳税人为同一购票员、出口商品结构变动异常、资源税增长率、进项税额变动率、自然人两处以上取得工资薪金所得未自行申报等50分评估指标</w:t>
      </w:r>
    </w:p>
    <w:p>
      <w:pPr>
        <w:spacing w:line="220" w:lineRule="atLeast"/>
        <w:rPr>
          <w:rFonts w:cs="宋体" w:asciiTheme="minorEastAsia" w:hAnsiTheme="minorEastAsia"/>
          <w:szCs w:val="18"/>
        </w:rPr>
      </w:pPr>
      <w:r>
        <w:rPr>
          <w:rFonts w:hint="eastAsia" w:cs="宋体" w:asciiTheme="minorEastAsia" w:hAnsiTheme="minorEastAsia"/>
          <w:szCs w:val="18"/>
        </w:rPr>
        <w:t>8.★纳税能力类评估指标需至少包含应纳税所得额变动率、销售利润率差异率、所得税贡献率、投入产出比、扣缴工资薪金个人所得税增减率、扣缴个人所得税变动率、印花税同步增长系数、应纳税额变动率、销项税额与进项税额弹性、加成率分析、销售额变动率等15个评估指标</w:t>
      </w:r>
    </w:p>
    <w:p>
      <w:pPr>
        <w:spacing w:line="220" w:lineRule="atLeast"/>
        <w:rPr>
          <w:rFonts w:cs="宋体" w:asciiTheme="minorEastAsia" w:hAnsiTheme="minorEastAsia"/>
          <w:szCs w:val="18"/>
        </w:rPr>
      </w:pPr>
      <w:r>
        <w:rPr>
          <w:rFonts w:hint="eastAsia" w:cs="宋体" w:asciiTheme="minorEastAsia" w:hAnsiTheme="minorEastAsia"/>
          <w:szCs w:val="18"/>
        </w:rPr>
        <w:t>9.生产经营类评估指标需至少包含关联销售变动率与销售收入变动率配比、能耗、吨煤生产耗电用量、包装物耗用模型、产量与销售收入弹性系数异常预警、应税资源销售数量变动率比对等9个评估指标</w:t>
      </w:r>
    </w:p>
    <w:p>
      <w:pPr>
        <w:spacing w:line="220" w:lineRule="atLeast"/>
        <w:rPr>
          <w:rFonts w:cs="宋体" w:asciiTheme="minorEastAsia" w:hAnsiTheme="minorEastAsia"/>
          <w:szCs w:val="18"/>
        </w:rPr>
      </w:pPr>
      <w:r>
        <w:rPr>
          <w:rFonts w:hint="eastAsia" w:cs="宋体" w:asciiTheme="minorEastAsia" w:hAnsiTheme="minorEastAsia"/>
          <w:szCs w:val="18"/>
        </w:rPr>
        <w:t>10.财务管理类评估指标需至少包含借款利息、长期投资增长预警、长期股权投资变动率、在建工程分析、销售成本费用率变动率、主营业务费用率、主营业务收入利润表、净资产收益率、资产负债率、成本费用利润率纵向比较、预付账款变动率等40个评估指标</w:t>
      </w:r>
    </w:p>
    <w:p>
      <w:pPr>
        <w:spacing w:line="220" w:lineRule="atLeast"/>
        <w:rPr>
          <w:rFonts w:cs="宋体" w:asciiTheme="minorEastAsia" w:hAnsiTheme="minorEastAsia"/>
          <w:szCs w:val="18"/>
        </w:rPr>
      </w:pPr>
      <w:r>
        <w:rPr>
          <w:rFonts w:hint="eastAsia" w:cs="宋体" w:asciiTheme="minorEastAsia" w:hAnsiTheme="minorEastAsia"/>
          <w:szCs w:val="18"/>
        </w:rPr>
        <w:t>11.每个评估指标信息表应包含指标名、大类含义、涉及行业、数据来源、指标含义、关键值描述、关键值类型、关键值计算公式、政策依据、关键值测算、应对经验。</w:t>
      </w:r>
    </w:p>
    <w:p>
      <w:pPr>
        <w:pStyle w:val="2"/>
        <w:ind w:left="0" w:leftChars="0" w:firstLine="0" w:firstLineChars="0"/>
        <w:rPr>
          <w:rFonts w:cs="宋体" w:asciiTheme="minorEastAsia" w:hAnsiTheme="minorEastAsia" w:eastAsiaTheme="minorEastAsia"/>
          <w:szCs w:val="18"/>
        </w:rPr>
      </w:pPr>
      <w:r>
        <w:rPr>
          <w:rFonts w:cs="宋体" w:asciiTheme="minorEastAsia" w:hAnsiTheme="minorEastAsia" w:eastAsiaTheme="minorEastAsia"/>
          <w:szCs w:val="18"/>
        </w:rPr>
        <w:t>12</w:t>
      </w:r>
      <w:r>
        <w:rPr>
          <w:rFonts w:hint="eastAsia" w:cs="宋体" w:asciiTheme="minorEastAsia" w:hAnsiTheme="minorEastAsia" w:eastAsiaTheme="minorEastAsia"/>
          <w:szCs w:val="18"/>
        </w:rPr>
        <w:t>.★评估指标随堂练需根据评估指标的分类展示相符合的练习案例，练习案例由教师端进行控制，为便于案例应用分类需根据发布的指标仅显示已发布的分类，未发布的指标分类不显示；</w:t>
      </w:r>
    </w:p>
    <w:p>
      <w:pPr>
        <w:pStyle w:val="2"/>
        <w:ind w:left="0" w:leftChars="0" w:firstLine="0" w:firstLineChars="0"/>
        <w:rPr>
          <w:rFonts w:cs="宋体" w:asciiTheme="minorEastAsia" w:hAnsiTheme="minorEastAsia" w:eastAsiaTheme="minorEastAsia"/>
          <w:szCs w:val="18"/>
        </w:rPr>
      </w:pPr>
      <w:r>
        <w:rPr>
          <w:rFonts w:hint="eastAsia" w:cs="宋体" w:asciiTheme="minorEastAsia" w:hAnsiTheme="minorEastAsia" w:eastAsiaTheme="minorEastAsia"/>
          <w:szCs w:val="18"/>
        </w:rPr>
        <w:t>1</w:t>
      </w:r>
      <w:r>
        <w:rPr>
          <w:rFonts w:cs="宋体" w:asciiTheme="minorEastAsia" w:hAnsiTheme="minorEastAsia" w:eastAsiaTheme="minorEastAsia"/>
          <w:szCs w:val="18"/>
        </w:rPr>
        <w:t>3</w:t>
      </w:r>
      <w:r>
        <w:rPr>
          <w:rFonts w:hint="eastAsia" w:cs="宋体" w:asciiTheme="minorEastAsia" w:hAnsiTheme="minorEastAsia" w:eastAsiaTheme="minorEastAsia"/>
          <w:szCs w:val="18"/>
        </w:rPr>
        <w:t>.</w:t>
      </w:r>
      <w:r>
        <w:rPr>
          <w:rFonts w:cs="宋体" w:asciiTheme="minorEastAsia" w:hAnsiTheme="minorEastAsia" w:eastAsiaTheme="minorEastAsia"/>
          <w:szCs w:val="18"/>
        </w:rPr>
        <w:t>评估指标随堂练案例列表需满足开始练习、重新练习和成绩查询的操作，且案例练习可随时暂停更换设备使用；</w:t>
      </w:r>
    </w:p>
    <w:p>
      <w:pPr>
        <w:pStyle w:val="2"/>
        <w:ind w:left="0" w:leftChars="0" w:firstLine="0" w:firstLineChars="0"/>
        <w:rPr>
          <w:rFonts w:cs="宋体" w:asciiTheme="minorEastAsia" w:hAnsiTheme="minorEastAsia" w:eastAsiaTheme="minorEastAsia"/>
          <w:szCs w:val="18"/>
        </w:rPr>
      </w:pPr>
      <w:r>
        <w:rPr>
          <w:rFonts w:cs="宋体" w:asciiTheme="minorEastAsia" w:hAnsiTheme="minorEastAsia" w:eastAsiaTheme="minorEastAsia"/>
          <w:szCs w:val="18"/>
        </w:rPr>
        <w:t>14</w:t>
      </w:r>
      <w:r>
        <w:rPr>
          <w:rFonts w:hint="eastAsia" w:cs="宋体" w:asciiTheme="minorEastAsia" w:hAnsiTheme="minorEastAsia" w:eastAsiaTheme="minorEastAsia"/>
          <w:szCs w:val="18"/>
        </w:rPr>
        <w:t>.★评估指标随堂练的案例由评估案例信息、政策法规、风险点判断、风险指标计算、风险排查、风险应对经验及评分组成；</w:t>
      </w:r>
    </w:p>
    <w:p>
      <w:pPr>
        <w:pStyle w:val="2"/>
        <w:ind w:left="0" w:leftChars="0" w:firstLine="0" w:firstLineChars="0"/>
        <w:rPr>
          <w:rFonts w:cs="宋体" w:asciiTheme="minorEastAsia" w:hAnsiTheme="minorEastAsia" w:eastAsiaTheme="minorEastAsia"/>
          <w:szCs w:val="18"/>
        </w:rPr>
      </w:pPr>
      <w:r>
        <w:rPr>
          <w:rFonts w:cs="宋体" w:asciiTheme="minorEastAsia" w:hAnsiTheme="minorEastAsia" w:eastAsiaTheme="minorEastAsia"/>
          <w:szCs w:val="18"/>
        </w:rPr>
        <w:t>15</w:t>
      </w:r>
      <w:r>
        <w:rPr>
          <w:rFonts w:hint="eastAsia" w:cs="宋体" w:asciiTheme="minorEastAsia" w:hAnsiTheme="minorEastAsia" w:eastAsiaTheme="minorEastAsia"/>
          <w:szCs w:val="18"/>
        </w:rPr>
        <w:t>.★风险点判断由风险方向、指标含义、指标公式、数据来源组成，其内容根据评估案例信息预制对应信息；风险指标计算根据指标公式所涉及的指标元提供单独的数据获取输入；风险排查默认给出对应指标的预警值，通过预警值说明完成练习；风险应对经验根据指标给出出现风险的应对方式方法或避免方案；</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6</w:t>
      </w:r>
      <w:r>
        <w:rPr>
          <w:rFonts w:hint="eastAsia" w:cs="宋体" w:asciiTheme="minorEastAsia" w:hAnsiTheme="minorEastAsia"/>
          <w:szCs w:val="18"/>
        </w:rPr>
        <w:t>.数据来源中的每一个数据来源的报表均可直接打开，可在原始表格未保存情况下打开另外一张报表；</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7</w:t>
      </w:r>
      <w:r>
        <w:rPr>
          <w:rFonts w:hint="eastAsia" w:cs="宋体" w:asciiTheme="minorEastAsia" w:hAnsiTheme="minorEastAsia"/>
          <w:szCs w:val="18"/>
        </w:rPr>
        <w:t>.数据来源包含企业生产经营数据、企业基础信息、财务会计报表（会计报表、财务报表）、涉税业务表单（纳税申报表、税务文书、票证类）等4大类，98张报表。具体报表均和真实系统一致。</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8</w:t>
      </w:r>
      <w:r>
        <w:rPr>
          <w:rFonts w:hint="eastAsia" w:cs="宋体" w:asciiTheme="minorEastAsia" w:hAnsiTheme="minorEastAsia"/>
          <w:szCs w:val="18"/>
        </w:rPr>
        <w:t>.指标测评模块有指标训练和指标测评两种模式，其中指标训练可以根据系统配置的纳税评估和指标相关的理论题进行训练，能够自动评分、错题重做、查看学习进度，支持单选、多选、判断、简单题、主观题等题型。测评模式由教师发布可进行定时考试或开放考试的方式，能进行统一考试测评，独有防作弊模式，题目随机、选项随机。测评系统自动评分。</w:t>
      </w:r>
    </w:p>
    <w:p>
      <w:pPr>
        <w:pStyle w:val="2"/>
        <w:ind w:left="0" w:leftChars="0" w:firstLine="0" w:firstLineChars="0"/>
      </w:pPr>
      <w:r>
        <w:t>19</w:t>
      </w:r>
      <w:r>
        <w:rPr>
          <w:rFonts w:hint="eastAsia" w:cs="宋体" w:asciiTheme="minorEastAsia" w:hAnsiTheme="minorEastAsia" w:eastAsiaTheme="minorEastAsia"/>
          <w:szCs w:val="18"/>
        </w:rPr>
        <w:t>.指标测评根据试卷由教师自主发布，发布模式分为练习及考试2种模式，且同一份试卷可各在指标练习和指标测评发布一次；评估指标随堂练根据教师端进行发布，同时指标测评和评估指标随堂练的标准答案开启均由教师端进行控制，并可对每个班级做精细化管理。</w:t>
      </w:r>
    </w:p>
    <w:p>
      <w:pPr>
        <w:pStyle w:val="2"/>
        <w:ind w:left="900" w:hanging="480"/>
        <w:rPr>
          <w:rFonts w:ascii="仿宋" w:hAnsi="仿宋" w:eastAsia="仿宋" w:cs="仿宋"/>
          <w:color w:val="000000"/>
          <w:kern w:val="0"/>
          <w:sz w:val="24"/>
          <w:szCs w:val="24"/>
          <w:lang w:bidi="ar"/>
        </w:rPr>
      </w:pPr>
    </w:p>
    <w:p>
      <w:pPr>
        <w:pStyle w:val="4"/>
      </w:pPr>
      <w:r>
        <w:rPr>
          <w:rFonts w:hint="eastAsia"/>
        </w:rPr>
        <w:t>（二）基于金税三期标准的纳税评估单点策略实训系统</w:t>
      </w:r>
    </w:p>
    <w:p>
      <w:pPr>
        <w:widowControl/>
        <w:pBdr>
          <w:left w:val="dotted" w:color="E4E4E4" w:sz="12" w:space="26"/>
        </w:pBdr>
        <w:shd w:val="clear" w:color="auto" w:fill="FFFFFF"/>
        <w:spacing w:line="360" w:lineRule="auto"/>
        <w:ind w:firstLine="420" w:firstLineChars="200"/>
        <w:rPr>
          <w:rFonts w:ascii="宋体" w:hAnsi="宋体" w:cs="宋体"/>
          <w:b/>
          <w:bCs/>
          <w:kern w:val="0"/>
          <w:szCs w:val="18"/>
        </w:rPr>
      </w:pPr>
      <w:r>
        <w:rPr>
          <w:rFonts w:hint="eastAsia" w:ascii="宋体" w:hAnsi="宋体" w:cs="宋体"/>
          <w:szCs w:val="18"/>
        </w:rPr>
        <w:t>系统带入企业真实经营信息，通过学习指引、行企背景、案情场景、案头分析等模块对企业进行按照风险点判断和结论、风险特征分析计算、风险信息排除确认、风险等级评价应对的流程进行纳税评估，并出具企业年度风险识别报告。并辅以案例点评，知识拓展，让学生全面掌握税局对企业进行纳税评估的方法。支持税种、行业、会计科目、风险特征、发票行为、指标特征等6个单点策略进行评估。</w:t>
      </w:r>
    </w:p>
    <w:p>
      <w:pPr>
        <w:widowControl/>
        <w:pBdr>
          <w:left w:val="dotted" w:color="E4E4E4" w:sz="12" w:space="26"/>
        </w:pBdr>
        <w:shd w:val="clear" w:color="auto" w:fill="FFFFFF"/>
        <w:spacing w:line="360" w:lineRule="auto"/>
        <w:ind w:left="422" w:hanging="422" w:hangingChars="200"/>
        <w:rPr>
          <w:rFonts w:ascii="宋体" w:hAnsi="宋体" w:cs="宋体"/>
          <w:b/>
          <w:bCs/>
          <w:kern w:val="0"/>
          <w:szCs w:val="18"/>
        </w:rPr>
      </w:pPr>
      <w:r>
        <w:rPr>
          <w:rFonts w:hint="eastAsia" w:ascii="宋体" w:hAnsi="宋体" w:cs="宋体"/>
          <w:b/>
          <w:bCs/>
          <w:kern w:val="0"/>
          <w:szCs w:val="18"/>
        </w:rPr>
        <w:t>核心技术参数</w:t>
      </w:r>
    </w:p>
    <w:p>
      <w:pPr>
        <w:spacing w:line="220" w:lineRule="atLeast"/>
        <w:rPr>
          <w:rFonts w:cs="宋体" w:asciiTheme="minorEastAsia" w:hAnsiTheme="minorEastAsia"/>
          <w:szCs w:val="18"/>
        </w:rPr>
      </w:pPr>
      <w:r>
        <w:rPr>
          <w:rFonts w:hint="eastAsia" w:cs="宋体" w:asciiTheme="minorEastAsia" w:hAnsiTheme="minorEastAsia"/>
          <w:szCs w:val="18"/>
        </w:rPr>
        <w:t>1.系统具有实训流程图功能，可全面了解纳税评估操作流程并牵引学生实训，能模拟税务局对企业进行纳税评估并出具企业风险识别报告；</w:t>
      </w:r>
    </w:p>
    <w:p>
      <w:pPr>
        <w:spacing w:line="220" w:lineRule="atLeast"/>
        <w:rPr>
          <w:rFonts w:cs="宋体" w:asciiTheme="minorEastAsia" w:hAnsiTheme="minorEastAsia"/>
          <w:szCs w:val="18"/>
        </w:rPr>
      </w:pPr>
      <w:r>
        <w:rPr>
          <w:rFonts w:hint="eastAsia" w:cs="宋体" w:asciiTheme="minorEastAsia" w:hAnsiTheme="minorEastAsia"/>
          <w:szCs w:val="18"/>
        </w:rPr>
        <w:t>2.可通过案例选择查看案例简介，历史成绩，风险识别报告。案例简介功能可以了解企业行业类别、所属税种、涉及指标等相关信息。可实时查看已做案例的风险识别评估报告；</w:t>
      </w:r>
    </w:p>
    <w:p>
      <w:pPr>
        <w:spacing w:line="220" w:lineRule="atLeast"/>
        <w:rPr>
          <w:rFonts w:cs="宋体" w:asciiTheme="minorEastAsia" w:hAnsiTheme="minorEastAsia"/>
          <w:szCs w:val="18"/>
        </w:rPr>
      </w:pPr>
      <w:r>
        <w:rPr>
          <w:rFonts w:hint="eastAsia" w:cs="宋体" w:asciiTheme="minorEastAsia" w:hAnsiTheme="minorEastAsia"/>
          <w:szCs w:val="18"/>
        </w:rPr>
        <w:t>3.★有学习指引、行企背景、案情场景、案头分析、纳税风险识别报告、案例点评、知识拓展功能，学习指引、行企背景模块：能展示纳税评估案例的学习流程、思路、行业，企业的现状、特点、趋势；</w:t>
      </w:r>
    </w:p>
    <w:p>
      <w:pPr>
        <w:spacing w:line="220" w:lineRule="atLeast"/>
        <w:rPr>
          <w:rFonts w:cs="宋体" w:asciiTheme="minorEastAsia" w:hAnsiTheme="minorEastAsia"/>
          <w:szCs w:val="18"/>
        </w:rPr>
      </w:pPr>
      <w:r>
        <w:rPr>
          <w:rFonts w:hint="eastAsia" w:cs="宋体" w:asciiTheme="minorEastAsia" w:hAnsiTheme="minorEastAsia"/>
          <w:szCs w:val="18"/>
        </w:rPr>
        <w:t>4.★案情场景：案例选择后，企业基本信息、企业经营情况、企业数据对比表、业务说明图、企业财务报表、纳税申报表等数据全部可以查看，且能够查看企业2期以内的数据，所有报表和真实系统完全一致。系统能够完成对被评估单位的财务数据获取；</w:t>
      </w:r>
    </w:p>
    <w:p>
      <w:pPr>
        <w:spacing w:line="220" w:lineRule="atLeast"/>
        <w:rPr>
          <w:rFonts w:cs="宋体" w:asciiTheme="minorEastAsia" w:hAnsiTheme="minorEastAsia"/>
          <w:szCs w:val="18"/>
        </w:rPr>
      </w:pPr>
      <w:r>
        <w:rPr>
          <w:rFonts w:hint="eastAsia" w:cs="宋体" w:asciiTheme="minorEastAsia" w:hAnsiTheme="minorEastAsia"/>
          <w:szCs w:val="18"/>
        </w:rPr>
        <w:t>5.★案头分析：有案头说明和案头分析功能。案头说明功能对企业的纳税评估方向进行指引和规划。案头分析功能分为风险点判断和结论、风险特征分析计算、风险信息排查确认、风险等级评价应对4个步骤。通过4个步骤对企业进行纳税风险评估操作。最终得出企业年度纳税风险识别实训报告；</w:t>
      </w:r>
    </w:p>
    <w:p>
      <w:pPr>
        <w:spacing w:line="220" w:lineRule="atLeast"/>
        <w:rPr>
          <w:rFonts w:cs="宋体" w:asciiTheme="minorEastAsia" w:hAnsiTheme="minorEastAsia"/>
          <w:szCs w:val="18"/>
        </w:rPr>
      </w:pPr>
      <w:r>
        <w:rPr>
          <w:rFonts w:hint="eastAsia" w:cs="宋体" w:asciiTheme="minorEastAsia" w:hAnsiTheme="minorEastAsia"/>
          <w:szCs w:val="18"/>
        </w:rPr>
        <w:t>6.能够对企业风险等级认定，提交评分后系统自动生成评估报告，显示相应分数，风险识别报告可打印，只有在提交评分后才能看到分析报告、案例点评和知识拓展；</w:t>
      </w:r>
    </w:p>
    <w:p>
      <w:pPr>
        <w:spacing w:line="220" w:lineRule="atLeast"/>
      </w:pPr>
      <w:r>
        <w:rPr>
          <w:rFonts w:hint="eastAsia" w:cs="宋体" w:asciiTheme="minorEastAsia" w:hAnsiTheme="minorEastAsia"/>
          <w:szCs w:val="18"/>
        </w:rPr>
        <w:t>7.纳税风险识别报告，和真实税局风险管理决策系统出具的风险识别报告基本一致。必须包含报告封面、行企背景、基本信息、案头分析、案例点评分项；</w:t>
      </w:r>
    </w:p>
    <w:p>
      <w:pPr>
        <w:spacing w:line="220" w:lineRule="atLeast"/>
        <w:rPr>
          <w:rFonts w:cs="宋体" w:asciiTheme="minorEastAsia" w:hAnsiTheme="minorEastAsia"/>
          <w:szCs w:val="18"/>
        </w:rPr>
      </w:pPr>
      <w:r>
        <w:rPr>
          <w:rFonts w:cs="宋体" w:asciiTheme="minorEastAsia" w:hAnsiTheme="minorEastAsia"/>
          <w:szCs w:val="18"/>
        </w:rPr>
        <w:t>8</w:t>
      </w:r>
      <w:r>
        <w:rPr>
          <w:rFonts w:hint="eastAsia" w:cs="宋体" w:asciiTheme="minorEastAsia" w:hAnsiTheme="minorEastAsia"/>
          <w:szCs w:val="18"/>
        </w:rPr>
        <w:t>.教室端具有班级管理、学生管理、案例发布功能，能够批量发布和管理案例，案例发布后需手动开启，关闭后学生看不到相应案例；</w:t>
      </w:r>
    </w:p>
    <w:p>
      <w:pPr>
        <w:spacing w:line="220" w:lineRule="atLeast"/>
        <w:rPr>
          <w:rFonts w:cs="宋体" w:asciiTheme="minorEastAsia" w:hAnsiTheme="minorEastAsia"/>
          <w:szCs w:val="18"/>
        </w:rPr>
      </w:pPr>
      <w:r>
        <w:rPr>
          <w:rFonts w:cs="宋体" w:asciiTheme="minorEastAsia" w:hAnsiTheme="minorEastAsia"/>
          <w:szCs w:val="18"/>
        </w:rPr>
        <w:t>9</w:t>
      </w:r>
      <w:r>
        <w:rPr>
          <w:rFonts w:hint="eastAsia" w:cs="宋体" w:asciiTheme="minorEastAsia" w:hAnsiTheme="minorEastAsia"/>
          <w:szCs w:val="18"/>
        </w:rPr>
        <w:t>.包含案例系统和评分系统，系统采用多种多样的成绩统计方法，既可以根据班级进行成绩统计，也可以根据教学案例进行统计，还可以根据学生个人进行成绩统计，教师端可以查看学生所在班级、提交时间、得分情况和详细评估报告，可按提交时间和分数升序降序排列；</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0</w:t>
      </w:r>
      <w:r>
        <w:rPr>
          <w:rFonts w:hint="eastAsia" w:cs="宋体" w:asciiTheme="minorEastAsia" w:hAnsiTheme="minorEastAsia"/>
          <w:szCs w:val="18"/>
        </w:rPr>
        <w:t>.教师端可进行人工评分，对学生分析思路部分进行手工评分，评分后可导出相应成绩；</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0</w:t>
      </w:r>
      <w:r>
        <w:rPr>
          <w:rFonts w:hint="eastAsia" w:cs="宋体" w:asciiTheme="minorEastAsia" w:hAnsiTheme="minorEastAsia"/>
          <w:szCs w:val="18"/>
        </w:rPr>
        <w:t>.后台可以查看每个学生实训成绩，并自动统计班级学生实训成绩。具有成绩分析功能，可以查看相应班级案例的实训人数、最高分、最低分、整体平均分和整体及格率。</w:t>
      </w:r>
    </w:p>
    <w:p>
      <w:pPr>
        <w:spacing w:line="220" w:lineRule="atLeast"/>
        <w:rPr>
          <w:rFonts w:cs="宋体" w:asciiTheme="minorEastAsia" w:hAnsiTheme="minorEastAsia"/>
          <w:szCs w:val="18"/>
        </w:rPr>
      </w:pPr>
      <w:r>
        <w:rPr>
          <w:rFonts w:hint="eastAsia" w:cs="宋体" w:asciiTheme="minorEastAsia" w:hAnsiTheme="minorEastAsia"/>
          <w:szCs w:val="18"/>
        </w:rPr>
        <w:t>1</w:t>
      </w:r>
      <w:r>
        <w:rPr>
          <w:rFonts w:cs="宋体" w:asciiTheme="minorEastAsia" w:hAnsiTheme="minorEastAsia"/>
          <w:szCs w:val="18"/>
        </w:rPr>
        <w:t>2</w:t>
      </w:r>
      <w:r>
        <w:rPr>
          <w:rFonts w:hint="eastAsia" w:cs="宋体" w:asciiTheme="minorEastAsia" w:hAnsiTheme="minorEastAsia"/>
          <w:szCs w:val="18"/>
        </w:rPr>
        <w:t>.★有不少于10个案例，包含道路运输业、房屋建筑业、酒、饮料和精制茶制造业（白酒制造）、零售业、旅游业、软件行业、医药制造业（药品生产）、娱乐业、装卸搬运和运输代理业（物流），案例指标需涉及税金负担率偏离度、主营业务收入变动率与主营业务成本变动率配比、增值税税负与毛利率弹性、增值税税负率、预付账款变动率、进项税额变动率等风险指标的教学应用。</w:t>
      </w:r>
    </w:p>
    <w:p>
      <w:pPr>
        <w:spacing w:line="220" w:lineRule="atLeast"/>
        <w:rPr>
          <w:rFonts w:ascii="宋体" w:hAnsi="宋体" w:cs="宋体"/>
          <w:szCs w:val="18"/>
        </w:rPr>
      </w:pPr>
      <w:r>
        <w:rPr>
          <w:rFonts w:hint="eastAsia" w:cs="宋体" w:asciiTheme="minorEastAsia" w:hAnsiTheme="minorEastAsia"/>
          <w:szCs w:val="18"/>
        </w:rPr>
        <w:t>1</w:t>
      </w:r>
      <w:r>
        <w:rPr>
          <w:rFonts w:cs="宋体" w:asciiTheme="minorEastAsia" w:hAnsiTheme="minorEastAsia"/>
          <w:szCs w:val="18"/>
        </w:rPr>
        <w:t>3</w:t>
      </w:r>
      <w:r>
        <w:rPr>
          <w:rFonts w:hint="eastAsia" w:cs="宋体" w:asciiTheme="minorEastAsia" w:hAnsiTheme="minorEastAsia"/>
          <w:szCs w:val="18"/>
        </w:rPr>
        <w:t>.★案例涉及的典型业务需包含混合经营、增值税率多样、物流加盟费、答谢客户费用、土地使用税计算方法、房产税计算方法、股东人所得税处理、建筑行业增值税收入确定、一般计税和简易计税、发票开具，一般纳税人简易征收进项转出、联营业务增值税扣除，路桥费、油料费，营业收入的配比、旅游行业增值税差额增收、平价团费、旅游景点返利、购物商店反人头费、外聘导游劳务报酬个人所得税、组织旅游活动视同销售、员工频繁报销凭证处理、农产品进项抵扣、赠送药品业务处理、过期医药产品进项、原材料投入产出比、红冲发票占比营业收入处理、取得收入多样，水电进项发票进项目分摊转出，折扣方式开具发票、购物卡发票开具处理、软件行业增值税优惠、增值税即征即退、增值税专用发票开具、研发费用加计扣除、个人投资者从其长期借款不还处理、原料投入产出比、进项农产品抵扣、酒类消费计税、包装物损失进项处理、违约保证金处理、租入房屋翻新费用处理、会员充值卡结算增值税处理、自产自销酒类产品消费税、被盗商品进项处理、销售旧设备处理40余种。</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920D03"/>
    <w:rsid w:val="000D4CF0"/>
    <w:rsid w:val="00435D24"/>
    <w:rsid w:val="00457531"/>
    <w:rsid w:val="00555FA1"/>
    <w:rsid w:val="00920D03"/>
    <w:rsid w:val="00B16F51"/>
    <w:rsid w:val="00DC679B"/>
    <w:rsid w:val="00F44C46"/>
    <w:rsid w:val="0C0A1AE2"/>
    <w:rsid w:val="11AB45D9"/>
    <w:rsid w:val="11B30526"/>
    <w:rsid w:val="13A3232F"/>
    <w:rsid w:val="1CBB5132"/>
    <w:rsid w:val="289164B7"/>
    <w:rsid w:val="2D3D18CC"/>
    <w:rsid w:val="2EB33897"/>
    <w:rsid w:val="35827561"/>
    <w:rsid w:val="360B1E2F"/>
    <w:rsid w:val="3D791D75"/>
    <w:rsid w:val="45246A6A"/>
    <w:rsid w:val="4532209B"/>
    <w:rsid w:val="4770787C"/>
    <w:rsid w:val="48B87BF5"/>
    <w:rsid w:val="49423962"/>
    <w:rsid w:val="4A332606"/>
    <w:rsid w:val="4D5A54CB"/>
    <w:rsid w:val="4E41243B"/>
    <w:rsid w:val="4F146BA0"/>
    <w:rsid w:val="523A4BE6"/>
    <w:rsid w:val="528943B0"/>
    <w:rsid w:val="53FE32D7"/>
    <w:rsid w:val="56384123"/>
    <w:rsid w:val="56446F6C"/>
    <w:rsid w:val="574346D6"/>
    <w:rsid w:val="61D541D7"/>
    <w:rsid w:val="6A0E546F"/>
    <w:rsid w:val="6E625A87"/>
    <w:rsid w:val="6E7855AD"/>
    <w:rsid w:val="718D136F"/>
    <w:rsid w:val="71B2544A"/>
    <w:rsid w:val="75736ACE"/>
    <w:rsid w:val="7A036672"/>
    <w:rsid w:val="7A9856DF"/>
    <w:rsid w:val="7D84323A"/>
    <w:rsid w:val="7DD95898"/>
    <w:rsid w:val="7DFA7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8"/>
    <w:qFormat/>
    <w:uiPriority w:val="0"/>
    <w:pPr>
      <w:keepNext/>
      <w:keepLines/>
      <w:spacing w:before="340" w:after="330" w:line="576" w:lineRule="auto"/>
      <w:outlineLvl w:val="0"/>
    </w:pPr>
    <w:rPr>
      <w:b/>
      <w:kern w:val="44"/>
      <w:sz w:val="44"/>
    </w:rPr>
  </w:style>
  <w:style w:type="paragraph" w:styleId="4">
    <w:name w:val="heading 2"/>
    <w:basedOn w:val="1"/>
    <w:next w:val="1"/>
    <w:link w:val="14"/>
    <w:unhideWhenUsed/>
    <w:qFormat/>
    <w:uiPriority w:val="0"/>
    <w:pPr>
      <w:keepNext/>
      <w:keepLines/>
      <w:spacing w:before="260" w:after="260" w:line="413" w:lineRule="auto"/>
      <w:outlineLvl w:val="1"/>
    </w:pPr>
    <w:rPr>
      <w:rFonts w:ascii="Arial" w:hAnsi="Arial" w:eastAsia="黑体"/>
      <w:b/>
      <w:sz w:val="32"/>
    </w:rPr>
  </w:style>
  <w:style w:type="paragraph" w:styleId="5">
    <w:name w:val="heading 3"/>
    <w:basedOn w:val="1"/>
    <w:next w:val="1"/>
    <w:link w:val="15"/>
    <w:unhideWhenUsed/>
    <w:qFormat/>
    <w:uiPriority w:val="0"/>
    <w:pPr>
      <w:keepNext/>
      <w:keepLines/>
      <w:spacing w:before="260" w:after="260" w:line="413" w:lineRule="auto"/>
      <w:outlineLvl w:val="2"/>
    </w:pPr>
    <w:rPr>
      <w:b/>
      <w:sz w:val="32"/>
    </w:rPr>
  </w:style>
  <w:style w:type="paragraph" w:styleId="6">
    <w:name w:val="heading 4"/>
    <w:basedOn w:val="1"/>
    <w:next w:val="1"/>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List 2"/>
    <w:basedOn w:val="1"/>
    <w:qFormat/>
    <w:uiPriority w:val="0"/>
    <w:pPr>
      <w:ind w:left="100" w:leftChars="200" w:hanging="200" w:hangingChars="200"/>
      <w:contextualSpacing/>
    </w:pPr>
    <w:rPr>
      <w:rFonts w:ascii="Times New Roman" w:hAnsi="Times New Roman" w:eastAsia="宋体" w:cs="Times New Roman"/>
      <w:szCs w:val="21"/>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FollowedHyperlink"/>
    <w:basedOn w:val="9"/>
    <w:qFormat/>
    <w:uiPriority w:val="0"/>
    <w:rPr>
      <w:color w:val="333333"/>
      <w:u w:val="none"/>
    </w:rPr>
  </w:style>
  <w:style w:type="character" w:styleId="11">
    <w:name w:val="Hyperlink"/>
    <w:basedOn w:val="9"/>
    <w:qFormat/>
    <w:uiPriority w:val="0"/>
    <w:rPr>
      <w:color w:val="333333"/>
      <w:u w:val="none"/>
    </w:rPr>
  </w:style>
  <w:style w:type="paragraph" w:styleId="12">
    <w:name w:val="List Paragraph"/>
    <w:basedOn w:val="1"/>
    <w:qFormat/>
    <w:uiPriority w:val="34"/>
    <w:pPr>
      <w:ind w:firstLine="420" w:firstLineChars="200"/>
    </w:pPr>
    <w:rPr>
      <w:rFonts w:ascii="Calibri" w:hAnsi="Calibri" w:eastAsia="宋体" w:cs="Times New Roman"/>
      <w:szCs w:val="22"/>
    </w:rPr>
  </w:style>
  <w:style w:type="paragraph" w:customStyle="1" w:styleId="1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4">
    <w:name w:val="标题 2 Char"/>
    <w:link w:val="4"/>
    <w:qFormat/>
    <w:uiPriority w:val="0"/>
    <w:rPr>
      <w:rFonts w:ascii="Arial" w:hAnsi="Arial" w:eastAsia="黑体"/>
      <w:b/>
      <w:sz w:val="32"/>
    </w:rPr>
  </w:style>
  <w:style w:type="character" w:customStyle="1" w:styleId="15">
    <w:name w:val="标题 3 Char"/>
    <w:link w:val="5"/>
    <w:qFormat/>
    <w:uiPriority w:val="0"/>
    <w:rPr>
      <w:b/>
      <w:sz w:val="32"/>
    </w:rPr>
  </w:style>
  <w:style w:type="character" w:customStyle="1" w:styleId="16">
    <w:name w:val="item-name"/>
    <w:basedOn w:val="9"/>
    <w:qFormat/>
    <w:uiPriority w:val="0"/>
  </w:style>
  <w:style w:type="character" w:customStyle="1" w:styleId="17">
    <w:name w:val="item-name1"/>
    <w:basedOn w:val="9"/>
    <w:qFormat/>
    <w:uiPriority w:val="0"/>
  </w:style>
  <w:style w:type="character" w:customStyle="1" w:styleId="18">
    <w:name w:val="标题 1 Char"/>
    <w:link w:val="3"/>
    <w:qFormat/>
    <w:uiPriority w:val="0"/>
    <w:rPr>
      <w:b/>
      <w:kern w:val="44"/>
      <w:sz w:val="4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5</Pages>
  <Words>4486</Words>
  <Characters>4547</Characters>
  <Lines>33</Lines>
  <Paragraphs>9</Paragraphs>
  <TotalTime>1</TotalTime>
  <ScaleCrop>false</ScaleCrop>
  <LinksUpToDate>false</LinksUpToDate>
  <CharactersWithSpaces>4548</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2021-10-27T08:17:00Z</dcterms:created>
  <dc:creator>Administrator.WIN-87F6G0SGVL9</dc:creator>
  <cp:lastModifiedBy>品诺酒店用品</cp:lastModifiedBy>
  <dcterms:modified xsi:type="dcterms:W3CDTF">2023-07-13T08:15:53Z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57BEF47CC33E44DFB0D39795F36BB1E6_13</vt:lpwstr>
  </property>
</Properties>
</file>