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eastAsia="宋体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4）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提供合格有效的纤维检验报告，检测结果为合格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（包括生产原材料及成品服装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复印件加盖公章）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提供合格有效的纤维检验报告，检测结果为合格</w:t>
      </w:r>
      <w:r>
        <w:rPr>
          <w:rFonts w:hint="eastAsia" w:cs="Times New Roman"/>
          <w:b/>
          <w:color w:val="333333"/>
          <w:sz w:val="32"/>
          <w:szCs w:val="32"/>
        </w:rPr>
        <w:t>（包括生产原材料及成品服装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，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复印件加盖公章）；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0</TotalTime>
  <ScaleCrop>false</ScaleCrop>
  <LinksUpToDate>false</LinksUpToDate>
  <CharactersWithSpaces>1994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2021-07-06T02:22:56Z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6A76D216534B4598A368D3B4FD68F2DE</vt:lpwstr>
  </property>
</Properties>
</file>