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rPr>
          <w:sz w:val="36"/>
        </w:rPr>
      </w:pPr>
      <w:r>
        <w:rPr>
          <w:rFonts w:hint="eastAsia"/>
        </w:rPr>
        <w:t>校门口信息化安全出入管理项目参数与预算</w:t>
      </w:r>
    </w:p>
    <w:tbl>
      <w:tblPr>
        <w:tblStyle w:val="6"/>
        <w:tblW w:w="5053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5"/>
        <w:gridCol w:w="1123"/>
        <w:gridCol w:w="3867"/>
        <w:gridCol w:w="424"/>
        <w:gridCol w:w="567"/>
        <w:gridCol w:w="851"/>
        <w:gridCol w:w="1275"/>
      </w:tblGrid>
      <w:tr>
        <w:trPr>
          <w:trHeight w:val="1053" w:hRule="atLeast"/>
        </w:trPr>
        <w:tc>
          <w:tcPr>
            <w:tcW w:w="2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65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货物名称</w:t>
            </w:r>
          </w:p>
        </w:tc>
        <w:tc>
          <w:tcPr>
            <w:tcW w:w="224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规格参数</w:t>
            </w:r>
          </w:p>
        </w:tc>
        <w:tc>
          <w:tcPr>
            <w:tcW w:w="24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32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49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单价</w:t>
            </w:r>
          </w:p>
        </w:tc>
        <w:tc>
          <w:tcPr>
            <w:tcW w:w="74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预算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人脸识别摆闸</w:t>
            </w:r>
          </w:p>
        </w:tc>
        <w:tc>
          <w:tcPr>
            <w:tcW w:w="22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1、 闸机通道采用厚度不低于1.5mm的不锈钢板材；通道应至少采用12对红外对红外对射，能在晴天、雨天等环境下稳定运行，不产生误报；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2、闸机通道应为摆闸箱体，摆杆可以选择采用亚克力材质，箱体尺寸：长≥1400mm，宽≤300mm，高≥960mm；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3、闸机设备的外表面，平整清洁，没有毛刺、飞边、砂眼、气孔等常见缺陷，没有擦伤、划痕、变形、破损以及生锈、腐蚀等损伤，没有尖锐的凸起、边角或棱角；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4、闸机通道应具备允许通行、禁止通行检查功能，没有经管理人员授权的人员闯入时能够警示；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5、闸机通道应具备应急放行的功能，设备在断电或者发生故障后能处于无拦挡状态；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6、闸机通道摆杆开/关速度可调，开门速度≤0.8S（需提供第三方有资质机构出具的带有CMA或CNAS标志的检测报告扫描件或影印件）；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7、闸机通道应具有翻越报警、滞留报警、反向闯入报警、通行超时报警、误闯报警等，并能对事件进行警示；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8、闸机通道应具有防尾随功能，在通道中同时通行人数超过允许通行的人数时，并能对尾随事件进行警示（需提供第三方有资质机构出具的带有CMA或CNAS标志的检测报告扫描件或影印件）；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9、闸机通道应满足防冲要求，处于关门状态时摆杆锁死，如果检测到外力冲撞，除了能对事件进行警示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外，能快速恢复到正常状态，时间≤3.5s；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、闸机通道应具备防夹保护的功能，在摆杆动作过程中遇到阻力时摆杆应自动停止动作，并能对事件进行警示。人员通行时，红外检测到人员在非安全区域，摆杆自动停止动作，人员离开通道后，摆杆自动复位；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11、闸机通道应集成语音模块，可满足根据用户需求自定义语音播报内容，同时可设置联动语音提示；12、闸机通道主机应支持不少于5万卡片管理和20万事件记录存储；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13、闸机通道应支持集成读卡器、身份证阅读器、人脸识别组件等设备集成，实现多种认证方式组合使用；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14、闸机通道外壳对外界机械碰撞的防护等级最薄弱处不低于IK04要求，其他表面不低于IK07要求（需提供第三方有资质机构出具的带有CMA或CNAS标志的检测报告扫描件或影印件）；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15、设备满足IP65防护等级要求（需提供第三方有资质机构出具的带有CMA或CNAS标志的检测报告扫描件或影印件）；</w:t>
            </w:r>
          </w:p>
        </w:tc>
        <w:tc>
          <w:tcPr>
            <w:tcW w:w="24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台</w:t>
            </w:r>
          </w:p>
        </w:tc>
        <w:tc>
          <w:tcPr>
            <w:tcW w:w="32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4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人脸识别一体机</w:t>
            </w:r>
          </w:p>
        </w:tc>
        <w:tc>
          <w:tcPr>
            <w:tcW w:w="224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1、设备采用安卓系统或嵌入式Linux系统，≥7英寸LCD触摸显示屏，屏幕分辨率不小于1024*600，屏幕防冲击防护等级IK04，除后壳盖板外的外壳防冲击防护等级IK07，支持IP65防水等级；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2、设备采用高清双目相机宽动态相机（1路可见光摄像头，1路红外摄像头），可适应强光、逆光、暗光等条件的人脸识别，最大分辨率1920×1080，帧率≥30帧/s；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3、设备本地人脸库存储容量50000张，本地卡存储容量50000张，本地出入记录存储容量100000条。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4、设备具有丰富的硬件接口，应满足系统设备功能需求和运行能力；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5、设备的人脸识别准确率≥99%，人脸识别速度≤0.5s,支持在低照度无补光环境下正常实现人脸识别（需提供第三方有资质机构出具的带有CMA或CNAS标志的检测报告扫描件或影印件）； 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6、设备支持人脸识别、人证比对（需外接身份证阅读器）、刷卡（需外接读卡器）或多种组合认证开门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7、设备具有数据加密功能，能根据具体用户按天、周、月、自定义时间段或全部查询事件记录；</w:t>
            </w:r>
          </w:p>
        </w:tc>
        <w:tc>
          <w:tcPr>
            <w:tcW w:w="24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台</w:t>
            </w:r>
          </w:p>
        </w:tc>
        <w:tc>
          <w:tcPr>
            <w:tcW w:w="32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6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出入管理系统</w:t>
            </w:r>
          </w:p>
        </w:tc>
        <w:tc>
          <w:tcPr>
            <w:tcW w:w="224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1、系统</w:t>
            </w:r>
            <w:r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组织架构管理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可根据学校的组织架构建立各个机构部门，系统支持多层多级部门管理，建立后的部门也可以根据需要进行编辑修改，为校园人员信息提供部门化分组管理；可实时展示学生总人数、教职工人数等内容；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2、</w:t>
            </w:r>
            <w:r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教职工基本信息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可编辑或查询教职工人员的基本信息，如人员姓名、人脸照片、工作职位、所属部门等；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3、</w:t>
            </w:r>
            <w:r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教职工信息导入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可通过批量导入方式完成教职工人员信息库建立，数据内容包括人员姓名、工作岗位、所属部门等，系统支持一次性导入数万个用户信息；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4、</w:t>
            </w:r>
            <w:r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员工照片批量上传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可通过批量导入方式完成教职工人员人脸库建立，并自动同步人脸库信息至子系统，系统支持一次性导入数据万个用户照片信息；从而减少人工操作的工作量，提升管理人员的工作效率；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5、</w:t>
            </w:r>
            <w:r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学生信息维护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可编辑或查询学生的基本信息，如人员姓名、人脸照片以及其他个人相关信息等；可以通过班级名称、系名称、辅导员等条件过滤的方式检索查询相关信息；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6、</w:t>
            </w:r>
            <w:r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学生信息导入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可通过批量导入方式完成学生信息库建立，数据内容包括人员姓名、所在班级与宿舍以及其他与个人相关的信息，系统支持一次性导入数万个用户信息；从而减少人工操作的工作量，提升管理人员的工作效率；</w:t>
            </w:r>
            <w:r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7、</w:t>
            </w:r>
            <w:r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学生照片批量上传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可通过批量导入方式完成学生人脸库建立，并自动同步人脸库信息至子系统，系统支持一次性导入数据万个用户照片信息；从而减少人工操作的工作量，提升管理人员的工作效率；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8、</w:t>
            </w:r>
            <w:r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班级花名册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可预览班级基本信息，并支持班级人员名册下载，数据内容包括院系信息、专业信息、班级信息、人数信息等；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9、</w:t>
            </w:r>
            <w:r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人证核验记录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可查询人证核验记录明细，可按人员姓名、证件号码、设备类型、时段、门禁区域等条件过滤方式检索系统数据；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10、</w:t>
            </w:r>
            <w:r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学生通行记录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支持学生通行记录明细查询，例如人员通行时间、通行次数、通行的门禁区域等，系统支持按人员、时间或门禁区域等条件类型检索需要查询的对象；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11、</w:t>
            </w:r>
            <w:r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教职工通行记录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支持教职工通行记录明细查询，例如人员通行时间、通行次数、通行的门禁区域等，系统支持按人员、时间或门禁区域等条件类型检索需要查询的对象；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12、</w:t>
            </w:r>
            <w:r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以图搜索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支持以图搜索功能，可通过上传人员照片，由系统自动筛选出近似度较高的抓拍记录照片，并按相似度次序排名，同时提供被搜索目标的通行记录查询；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13、</w:t>
            </w:r>
            <w:r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在校人数统计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可自动统计在校人员（教职工和学生）数量，包括男生数量、女生数量、总人数等信息，并可进行报表导出与打印等；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14、软件</w:t>
            </w:r>
            <w:r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需具有计算机软件著作权登记证书。</w:t>
            </w:r>
          </w:p>
        </w:tc>
        <w:tc>
          <w:tcPr>
            <w:tcW w:w="24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套</w:t>
            </w:r>
          </w:p>
        </w:tc>
        <w:tc>
          <w:tcPr>
            <w:tcW w:w="32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服务器</w:t>
            </w:r>
          </w:p>
        </w:tc>
        <w:tc>
          <w:tcPr>
            <w:tcW w:w="22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1、2U双路标准机架式服务器；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2、CPU：≥2颗处理器，核数≥10核，主频≥2.2GHz；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3、内存：≥32G DDR4，16根内存插槽，最大支持扩展至2TB内存；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4、硬盘：≥4块600G 10K 2.5寸 SAS硬盘；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5、阵列卡：SAS_HBA卡, 支持RAID 0/1/10；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6、PCIE扩展：最大可支持≥6个PCIE扩展插槽；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7、 网口：≥2个千兆电口,1个RJ45管理接口，后置2个USB 3.0接口，前置2个USB2.0接口，1个VGA接口； 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8、电源：标配≥550W（1+1）高效铂金CRPS冗余电源；</w:t>
            </w:r>
          </w:p>
        </w:tc>
        <w:tc>
          <w:tcPr>
            <w:tcW w:w="24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台</w:t>
            </w:r>
          </w:p>
        </w:tc>
        <w:tc>
          <w:tcPr>
            <w:tcW w:w="32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6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交换机</w:t>
            </w:r>
          </w:p>
        </w:tc>
        <w:tc>
          <w:tcPr>
            <w:tcW w:w="22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1、 配置：可用千兆电接口数量≥8；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2、交换容量≥16Gbps，转发性能≥11.904Mpps；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3、支持IEEE 802.3、IEEE 802.3u、IEEE 802.3x，IEEE 802.3ab；</w:t>
            </w:r>
          </w:p>
        </w:tc>
        <w:tc>
          <w:tcPr>
            <w:tcW w:w="24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台</w:t>
            </w:r>
          </w:p>
        </w:tc>
        <w:tc>
          <w:tcPr>
            <w:tcW w:w="32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6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车辆道闸移位</w:t>
            </w:r>
          </w:p>
        </w:tc>
        <w:tc>
          <w:tcPr>
            <w:tcW w:w="22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定制，将位置迁移</w:t>
            </w:r>
            <w:r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5米左右，线路改造，系统不变。</w:t>
            </w:r>
          </w:p>
        </w:tc>
        <w:tc>
          <w:tcPr>
            <w:tcW w:w="24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副</w:t>
            </w:r>
          </w:p>
        </w:tc>
        <w:tc>
          <w:tcPr>
            <w:tcW w:w="32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6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电动门移位</w:t>
            </w:r>
          </w:p>
        </w:tc>
        <w:tc>
          <w:tcPr>
            <w:tcW w:w="22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定制，将位置迁移</w:t>
            </w:r>
            <w:r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10米左右，线路改造，路面挖槽与恢复，系统不变。</w:t>
            </w:r>
          </w:p>
        </w:tc>
        <w:tc>
          <w:tcPr>
            <w:tcW w:w="24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副</w:t>
            </w:r>
          </w:p>
        </w:tc>
        <w:tc>
          <w:tcPr>
            <w:tcW w:w="32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6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护栏门</w:t>
            </w:r>
          </w:p>
        </w:tc>
        <w:tc>
          <w:tcPr>
            <w:tcW w:w="22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定制，高度</w:t>
            </w:r>
            <w:r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1.6米，不锈钢管直径50mm以上，与原护栏相协调。</w:t>
            </w:r>
          </w:p>
        </w:tc>
        <w:tc>
          <w:tcPr>
            <w:tcW w:w="24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米</w:t>
            </w:r>
          </w:p>
        </w:tc>
        <w:tc>
          <w:tcPr>
            <w:tcW w:w="32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4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6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安装调试服务（含线材）</w:t>
            </w:r>
          </w:p>
        </w:tc>
        <w:tc>
          <w:tcPr>
            <w:tcW w:w="22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定制，含整个项目中设备移位、非机动车道改造的路面土建恢复及系统集成调试，及强弱电线材及安装用五金件辅材等。</w:t>
            </w:r>
          </w:p>
        </w:tc>
        <w:tc>
          <w:tcPr>
            <w:tcW w:w="24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</w:t>
            </w:r>
          </w:p>
        </w:tc>
        <w:tc>
          <w:tcPr>
            <w:tcW w:w="32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rPr>
          <w:trHeight w:val="435" w:hRule="atLeast"/>
        </w:trPr>
        <w:tc>
          <w:tcPr>
            <w:tcW w:w="2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4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合计</w:t>
            </w:r>
          </w:p>
        </w:tc>
        <w:tc>
          <w:tcPr>
            <w:tcW w:w="74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CA9"/>
    <w:rsid w:val="0000154B"/>
    <w:rsid w:val="00071C6B"/>
    <w:rsid w:val="000868AF"/>
    <w:rsid w:val="000A03D5"/>
    <w:rsid w:val="000B1EE9"/>
    <w:rsid w:val="00145A12"/>
    <w:rsid w:val="0018004C"/>
    <w:rsid w:val="00192EDA"/>
    <w:rsid w:val="002E0DAA"/>
    <w:rsid w:val="002F03A8"/>
    <w:rsid w:val="003470AC"/>
    <w:rsid w:val="0037440F"/>
    <w:rsid w:val="00386AD1"/>
    <w:rsid w:val="003C30BF"/>
    <w:rsid w:val="003C7F12"/>
    <w:rsid w:val="004142AD"/>
    <w:rsid w:val="00416260"/>
    <w:rsid w:val="00491EAE"/>
    <w:rsid w:val="004D5D4C"/>
    <w:rsid w:val="005022C1"/>
    <w:rsid w:val="0061705E"/>
    <w:rsid w:val="00685ADF"/>
    <w:rsid w:val="006906CB"/>
    <w:rsid w:val="00694A86"/>
    <w:rsid w:val="006A3EDB"/>
    <w:rsid w:val="006F3CA9"/>
    <w:rsid w:val="006F5A87"/>
    <w:rsid w:val="00721812"/>
    <w:rsid w:val="00750D1B"/>
    <w:rsid w:val="00784CA7"/>
    <w:rsid w:val="00792689"/>
    <w:rsid w:val="007B6A92"/>
    <w:rsid w:val="007E0267"/>
    <w:rsid w:val="007E26B3"/>
    <w:rsid w:val="008A6B68"/>
    <w:rsid w:val="008C3574"/>
    <w:rsid w:val="0091019A"/>
    <w:rsid w:val="00957446"/>
    <w:rsid w:val="009C6791"/>
    <w:rsid w:val="009E11A3"/>
    <w:rsid w:val="00A33531"/>
    <w:rsid w:val="00A46F30"/>
    <w:rsid w:val="00A6036F"/>
    <w:rsid w:val="00A76B13"/>
    <w:rsid w:val="00A9348A"/>
    <w:rsid w:val="00AB558C"/>
    <w:rsid w:val="00AE3DE3"/>
    <w:rsid w:val="00AE7A35"/>
    <w:rsid w:val="00C06601"/>
    <w:rsid w:val="00C222D7"/>
    <w:rsid w:val="00C22A62"/>
    <w:rsid w:val="00C64A43"/>
    <w:rsid w:val="00C83EEA"/>
    <w:rsid w:val="00D40402"/>
    <w:rsid w:val="00D709DB"/>
    <w:rsid w:val="00DE60A7"/>
    <w:rsid w:val="00E912C7"/>
    <w:rsid w:val="00F53D83"/>
    <w:rsid w:val="00F90692"/>
    <w:rsid w:val="00FC0A23"/>
    <w:rsid w:val="00FC181B"/>
    <w:rsid w:val="00FD08DE"/>
    <w:rsid w:val="7D9E5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link w:val="11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标题 Char"/>
    <w:basedOn w:val="7"/>
    <w:link w:val="5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12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8451F6F-2144-40EF-B96B-AEA6AABF6FA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477</Words>
  <Characters>2720</Characters>
  <Lines>22</Lines>
  <Paragraphs>6</Paragraphs>
  <TotalTime>76</TotalTime>
  <ScaleCrop>false</ScaleCrop>
  <LinksUpToDate>false</LinksUpToDate>
  <CharactersWithSpaces>3191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2021-08-13T05:31:00Z</dcterms:created>
  <dc:creator>魏文振</dc:creator>
  <cp:lastModifiedBy>遥远</cp:lastModifiedBy>
  <cp:lastPrinted>2021-08-16T01:40:00Z</cp:lastPrinted>
  <dcterms:modified xsi:type="dcterms:W3CDTF">2021-08-16T08:54:20Z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